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2869"/>
      </w:tblGrid>
      <w:tr w:rsidR="00E914FB" w:rsidRPr="003936FC" w14:paraId="082069E5" w14:textId="77777777" w:rsidTr="008D6648">
        <w:tc>
          <w:tcPr>
            <w:tcW w:w="7054" w:type="dxa"/>
          </w:tcPr>
          <w:p w14:paraId="34D75167" w14:textId="7BEA396D" w:rsidR="00E914FB" w:rsidRPr="003936FC" w:rsidRDefault="00092AFE" w:rsidP="00E914FB">
            <w:pPr>
              <w:rPr>
                <w:rFonts w:ascii="Europa-Regular" w:hAnsi="Europa-Regular"/>
                <w:sz w:val="40"/>
                <w:szCs w:val="40"/>
              </w:rPr>
            </w:pPr>
            <w:r>
              <w:rPr>
                <w:rFonts w:ascii="Europa-Regular" w:hAnsi="Europa-Regular"/>
                <w:sz w:val="40"/>
                <w:szCs w:val="40"/>
              </w:rPr>
              <w:t>An introduction to Agonistic Memory</w:t>
            </w:r>
          </w:p>
        </w:tc>
        <w:tc>
          <w:tcPr>
            <w:tcW w:w="2869" w:type="dxa"/>
          </w:tcPr>
          <w:p w14:paraId="435AA95F" w14:textId="77777777" w:rsidR="00E914FB" w:rsidRPr="003936FC" w:rsidRDefault="00E914FB" w:rsidP="00E914FB">
            <w:pPr>
              <w:jc w:val="right"/>
              <w:rPr>
                <w:rFonts w:ascii="Europa-Regular" w:hAnsi="Europa-Regular"/>
                <w:b/>
                <w:sz w:val="24"/>
                <w:szCs w:val="24"/>
              </w:rPr>
            </w:pPr>
            <w:r w:rsidRPr="003936FC">
              <w:rPr>
                <w:rFonts w:ascii="Europa-Regular" w:hAnsi="Europa-Regular"/>
                <w:b/>
                <w:noProof/>
                <w:sz w:val="24"/>
                <w:szCs w:val="24"/>
                <w:lang w:val="en-US"/>
              </w:rPr>
              <w:drawing>
                <wp:inline distT="0" distB="0" distL="0" distR="0" wp14:anchorId="0442A0B1" wp14:editId="0B1B5A88">
                  <wp:extent cx="1484525" cy="608738"/>
                  <wp:effectExtent l="0" t="0" r="1905" b="1270"/>
                  <wp:docPr id="1026" name="Picture 2" descr="C:\Users\Nitin Parmar\Desktop\uob-logo-black-transpare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Nitin Parmar\Desktop\uob-logo-black-transparen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525" cy="608738"/>
                          </a:xfrm>
                          <a:prstGeom prst="rect">
                            <a:avLst/>
                          </a:prstGeom>
                          <a:noFill/>
                          <a:extLst/>
                        </pic:spPr>
                      </pic:pic>
                    </a:graphicData>
                  </a:graphic>
                </wp:inline>
              </w:drawing>
            </w:r>
          </w:p>
        </w:tc>
      </w:tr>
    </w:tbl>
    <w:p w14:paraId="05C94BFF" w14:textId="5E310A88" w:rsidR="00092AFE" w:rsidRPr="00235408" w:rsidRDefault="00092AFE" w:rsidP="00092AFE">
      <w:pPr>
        <w:rPr>
          <w:b/>
          <w:bCs/>
        </w:rPr>
      </w:pPr>
    </w:p>
    <w:p w14:paraId="16753B06" w14:textId="77777777" w:rsidR="00092AFE" w:rsidRPr="00235408" w:rsidRDefault="00092AFE" w:rsidP="00092AFE">
      <w:pPr>
        <w:rPr>
          <w:b/>
          <w:bCs/>
        </w:rPr>
      </w:pPr>
      <w:r w:rsidRPr="00235408">
        <w:rPr>
          <w:b/>
          <w:bCs/>
        </w:rPr>
        <w:t xml:space="preserve">In their theory of agonistic memory, Professor Anna Bull and Professor Hans </w:t>
      </w:r>
      <w:proofErr w:type="spellStart"/>
      <w:r w:rsidRPr="00235408">
        <w:rPr>
          <w:b/>
          <w:bCs/>
        </w:rPr>
        <w:t>Lauge</w:t>
      </w:r>
      <w:proofErr w:type="spellEnd"/>
      <w:r w:rsidRPr="00235408">
        <w:rPr>
          <w:b/>
          <w:bCs/>
        </w:rPr>
        <w:t xml:space="preserve"> Hansen build on an existing criticism of cosmopolitanism which argues that this memory mode has not been able to prevent the rise of antagonistic memories which are constructed by populist, neo-nationalist movements.</w:t>
      </w:r>
      <w:bookmarkStart w:id="0" w:name="_GoBack"/>
      <w:bookmarkEnd w:id="0"/>
    </w:p>
    <w:p w14:paraId="2A66104D" w14:textId="77777777" w:rsidR="00092AFE" w:rsidRPr="00235408" w:rsidRDefault="00092AFE" w:rsidP="00092AFE">
      <w:r w:rsidRPr="00235408">
        <w:t>The 2014 European elections marked the high point of this type of antagonistic politics.</w:t>
      </w:r>
    </w:p>
    <w:p w14:paraId="288C1983" w14:textId="77777777" w:rsidR="00092AFE" w:rsidRPr="00235408" w:rsidRDefault="00092AFE" w:rsidP="00092AFE">
      <w:r w:rsidRPr="00235408">
        <w:t xml:space="preserve">‘Agonistic memory’ was introduced as a way to overcome the lack of interaction between the cosmopolitan mode and this antagonistic way of remembering. A </w:t>
      </w:r>
      <w:hyperlink r:id="rId9" w:history="1">
        <w:r w:rsidRPr="00235408">
          <w:rPr>
            <w:rStyle w:val="Hyperlink"/>
          </w:rPr>
          <w:t>full discussion of agonistic memory</w:t>
        </w:r>
      </w:hyperlink>
      <w:r w:rsidRPr="00235408">
        <w:t xml:space="preserve"> can be found in Anna and Hans’ article.</w:t>
      </w:r>
    </w:p>
    <w:p w14:paraId="21BB91A1" w14:textId="77777777" w:rsidR="00092AFE" w:rsidRPr="00235408" w:rsidRDefault="00092AFE" w:rsidP="00092AFE">
      <w:r w:rsidRPr="00235408">
        <w:t xml:space="preserve">Unlike antagonistic memory, agonistic memory </w:t>
      </w:r>
      <w:r w:rsidRPr="00235408">
        <w:rPr>
          <w:b/>
          <w:bCs/>
        </w:rPr>
        <w:t>avoids pitting ‘good’ against ‘evil’</w:t>
      </w:r>
      <w:r w:rsidRPr="00235408">
        <w:t xml:space="preserve"> and instead </w:t>
      </w:r>
      <w:r w:rsidRPr="00235408">
        <w:rPr>
          <w:b/>
          <w:bCs/>
        </w:rPr>
        <w:t>acknowledges the human capacity for evil in specific circumstances and in certain social and political contexts</w:t>
      </w:r>
      <w:r w:rsidRPr="00235408">
        <w:t xml:space="preserve">. Anna and Hans argue that focusing on ‘us’ and ‘them’ constructs history as something done to people, negating individual agency. Both antagonistic and cosmopolitan modes of memory tend to simplify past historical events, either to misrepresent the past to further certain political agendas (antagonism), or de-contextualise the past to promote a new kind of universalism (cosmopolitanism). Agonistic memory focuses instead on </w:t>
      </w:r>
      <w:r w:rsidRPr="00235408">
        <w:rPr>
          <w:b/>
          <w:bCs/>
        </w:rPr>
        <w:t>reconstructing the historical context</w:t>
      </w:r>
      <w:r w:rsidRPr="00235408">
        <w:t xml:space="preserve">, specific </w:t>
      </w:r>
      <w:r w:rsidRPr="00235408">
        <w:rPr>
          <w:b/>
          <w:bCs/>
        </w:rPr>
        <w:t>socio-political struggles</w:t>
      </w:r>
      <w:r w:rsidRPr="00235408">
        <w:t xml:space="preserve">, and the </w:t>
      </w:r>
      <w:r w:rsidRPr="00235408">
        <w:rPr>
          <w:b/>
          <w:bCs/>
        </w:rPr>
        <w:t>individual and group stories</w:t>
      </w:r>
      <w:r w:rsidRPr="00235408">
        <w:t xml:space="preserve"> which led to violence and war.</w:t>
      </w:r>
    </w:p>
    <w:p w14:paraId="33CE9B91" w14:textId="77777777" w:rsidR="00092AFE" w:rsidRPr="00235408" w:rsidRDefault="00092AFE" w:rsidP="00092AFE">
      <w:r w:rsidRPr="00235408">
        <w:t xml:space="preserve">Hearing the </w:t>
      </w:r>
      <w:r w:rsidRPr="00235408">
        <w:rPr>
          <w:b/>
          <w:bCs/>
        </w:rPr>
        <w:t>testimonies of both victims AND perpetrators</w:t>
      </w:r>
      <w:r w:rsidRPr="00235408">
        <w:t xml:space="preserve"> is crucial in agonistic memory, as well as witnesses, bystanders, spies, and traitors. The testimonies of perpetrators can help us to understand when, how, and why people turn into perpetrators. Instead we need to learn from these different perspectives.</w:t>
      </w:r>
    </w:p>
    <w:p w14:paraId="1832C77F" w14:textId="77777777" w:rsidR="00092AFE" w:rsidRPr="00235408" w:rsidRDefault="00092AFE" w:rsidP="00092AFE">
      <w:r w:rsidRPr="00235408">
        <w:rPr>
          <w:b/>
          <w:bCs/>
        </w:rPr>
        <w:t>Emotions and passions</w:t>
      </w:r>
      <w:r w:rsidRPr="00235408">
        <w:t xml:space="preserve"> are important in agonistic memory, they do not undermine democracy or preclude understanding. You will recall that in antagonism, passions and emotions cement a sense of belonging to a certain community or national group, and in cosmopolitanism, the focus is on empathizing with the suffering of the victims. Agonism argues that </w:t>
      </w:r>
      <w:r w:rsidRPr="00235408">
        <w:rPr>
          <w:b/>
          <w:bCs/>
        </w:rPr>
        <w:t>passion is an important force</w:t>
      </w:r>
      <w:r w:rsidRPr="00235408">
        <w:t xml:space="preserve"> to reinvigorate politics and can be used to create a sense of solidarity without demonising the ‘evil other.’ </w:t>
      </w:r>
      <w:r w:rsidRPr="00235408">
        <w:rPr>
          <w:b/>
          <w:bCs/>
        </w:rPr>
        <w:t>Empathy with victims is the first step</w:t>
      </w:r>
      <w:r w:rsidRPr="00235408">
        <w:t xml:space="preserve"> in promoting understanding and acknowledging civic and political passions.</w:t>
      </w:r>
    </w:p>
    <w:p w14:paraId="6F1C00FE" w14:textId="77777777" w:rsidR="00092AFE" w:rsidRPr="00235408" w:rsidRDefault="00092AFE" w:rsidP="00092AFE">
      <w:r w:rsidRPr="00235408">
        <w:t xml:space="preserve">The following table shows the characteristics of the three different memory modes. it is based on a similar table in </w:t>
      </w:r>
      <w:hyperlink r:id="rId10" w:history="1">
        <w:r w:rsidRPr="00235408">
          <w:rPr>
            <w:rStyle w:val="Hyperlink"/>
          </w:rPr>
          <w:t>Anna and Hans’ article</w:t>
        </w:r>
      </w:hyperlink>
      <w:r w:rsidRPr="00235408">
        <w:t>:</w:t>
      </w:r>
    </w:p>
    <w:tbl>
      <w:tblPr>
        <w:tblW w:w="9003" w:type="dxa"/>
        <w:tblCellMar>
          <w:top w:w="15" w:type="dxa"/>
          <w:left w:w="15" w:type="dxa"/>
          <w:bottom w:w="15" w:type="dxa"/>
          <w:right w:w="15" w:type="dxa"/>
        </w:tblCellMar>
        <w:tblLook w:val="04A0" w:firstRow="1" w:lastRow="0" w:firstColumn="1" w:lastColumn="0" w:noHBand="0" w:noVBand="1"/>
      </w:tblPr>
      <w:tblGrid>
        <w:gridCol w:w="2209"/>
        <w:gridCol w:w="2176"/>
        <w:gridCol w:w="2204"/>
        <w:gridCol w:w="2414"/>
      </w:tblGrid>
      <w:tr w:rsidR="00092AFE" w:rsidRPr="00235408" w14:paraId="783BD64F" w14:textId="77777777" w:rsidTr="00B37DCF">
        <w:trPr>
          <w:trHeight w:val="731"/>
          <w:tblHeader/>
        </w:trPr>
        <w:tc>
          <w:tcPr>
            <w:tcW w:w="2250" w:type="dxa"/>
            <w:tcBorders>
              <w:bottom w:val="single" w:sz="6" w:space="0" w:color="EDEDEE"/>
              <w:right w:val="single" w:sz="6" w:space="0" w:color="EDEDEE"/>
            </w:tcBorders>
            <w:tcMar>
              <w:top w:w="0" w:type="dxa"/>
              <w:left w:w="0" w:type="dxa"/>
              <w:bottom w:w="152" w:type="dxa"/>
              <w:right w:w="304" w:type="dxa"/>
            </w:tcMar>
            <w:vAlign w:val="center"/>
            <w:hideMark/>
          </w:tcPr>
          <w:p w14:paraId="205EF069" w14:textId="77777777" w:rsidR="00092AFE" w:rsidRPr="00235408" w:rsidRDefault="00092AFE" w:rsidP="00B37DCF">
            <w:pPr>
              <w:rPr>
                <w:b/>
                <w:bCs/>
              </w:rPr>
            </w:pPr>
            <w:r w:rsidRPr="00235408">
              <w:rPr>
                <w:b/>
                <w:bCs/>
              </w:rPr>
              <w:t>Memory Modes / Characteristics</w:t>
            </w:r>
          </w:p>
        </w:tc>
        <w:tc>
          <w:tcPr>
            <w:tcW w:w="2251" w:type="dxa"/>
            <w:tcBorders>
              <w:bottom w:val="single" w:sz="6" w:space="0" w:color="EDEDEE"/>
              <w:right w:val="single" w:sz="6" w:space="0" w:color="EDEDEE"/>
            </w:tcBorders>
            <w:tcMar>
              <w:top w:w="0" w:type="dxa"/>
              <w:left w:w="304" w:type="dxa"/>
              <w:bottom w:w="152" w:type="dxa"/>
              <w:right w:w="304" w:type="dxa"/>
            </w:tcMar>
            <w:vAlign w:val="center"/>
            <w:hideMark/>
          </w:tcPr>
          <w:p w14:paraId="7539A16A" w14:textId="77777777" w:rsidR="00092AFE" w:rsidRPr="00235408" w:rsidRDefault="00092AFE" w:rsidP="00B37DCF">
            <w:pPr>
              <w:rPr>
                <w:b/>
                <w:bCs/>
              </w:rPr>
            </w:pPr>
            <w:r w:rsidRPr="00235408">
              <w:rPr>
                <w:b/>
                <w:bCs/>
              </w:rPr>
              <w:t>Antagonistic</w:t>
            </w:r>
          </w:p>
        </w:tc>
        <w:tc>
          <w:tcPr>
            <w:tcW w:w="2251" w:type="dxa"/>
            <w:tcBorders>
              <w:bottom w:val="single" w:sz="6" w:space="0" w:color="EDEDEE"/>
              <w:right w:val="single" w:sz="6" w:space="0" w:color="EDEDEE"/>
            </w:tcBorders>
            <w:tcMar>
              <w:top w:w="0" w:type="dxa"/>
              <w:left w:w="304" w:type="dxa"/>
              <w:bottom w:w="152" w:type="dxa"/>
              <w:right w:w="304" w:type="dxa"/>
            </w:tcMar>
            <w:vAlign w:val="center"/>
            <w:hideMark/>
          </w:tcPr>
          <w:p w14:paraId="3EF26555" w14:textId="77777777" w:rsidR="00092AFE" w:rsidRPr="00235408" w:rsidRDefault="00092AFE" w:rsidP="00B37DCF">
            <w:pPr>
              <w:rPr>
                <w:b/>
                <w:bCs/>
              </w:rPr>
            </w:pPr>
            <w:r w:rsidRPr="00235408">
              <w:rPr>
                <w:b/>
                <w:bCs/>
              </w:rPr>
              <w:t>Cosmopolitan</w:t>
            </w:r>
          </w:p>
        </w:tc>
        <w:tc>
          <w:tcPr>
            <w:tcW w:w="2251" w:type="dxa"/>
            <w:tcBorders>
              <w:bottom w:val="single" w:sz="6" w:space="0" w:color="EDEDEE"/>
              <w:right w:val="nil"/>
            </w:tcBorders>
            <w:tcMar>
              <w:top w:w="0" w:type="dxa"/>
              <w:left w:w="304" w:type="dxa"/>
              <w:bottom w:w="152" w:type="dxa"/>
              <w:right w:w="0" w:type="dxa"/>
            </w:tcMar>
            <w:vAlign w:val="center"/>
            <w:hideMark/>
          </w:tcPr>
          <w:p w14:paraId="7426313D" w14:textId="77777777" w:rsidR="00092AFE" w:rsidRPr="00235408" w:rsidRDefault="00092AFE" w:rsidP="00B37DCF">
            <w:pPr>
              <w:rPr>
                <w:b/>
                <w:bCs/>
              </w:rPr>
            </w:pPr>
            <w:r w:rsidRPr="00235408">
              <w:rPr>
                <w:b/>
                <w:bCs/>
              </w:rPr>
              <w:t>Agonistic</w:t>
            </w:r>
          </w:p>
        </w:tc>
      </w:tr>
      <w:tr w:rsidR="00092AFE" w:rsidRPr="00235408" w14:paraId="54AA59D1" w14:textId="77777777" w:rsidTr="00B37DCF">
        <w:trPr>
          <w:trHeight w:val="1313"/>
        </w:trPr>
        <w:tc>
          <w:tcPr>
            <w:tcW w:w="2250" w:type="dxa"/>
            <w:tcBorders>
              <w:bottom w:val="single" w:sz="6" w:space="0" w:color="EDEDEE"/>
              <w:right w:val="single" w:sz="6" w:space="0" w:color="EDEDEE"/>
            </w:tcBorders>
            <w:tcMar>
              <w:top w:w="304" w:type="dxa"/>
              <w:left w:w="0" w:type="dxa"/>
              <w:bottom w:w="304" w:type="dxa"/>
              <w:right w:w="304" w:type="dxa"/>
            </w:tcMar>
            <w:vAlign w:val="center"/>
            <w:hideMark/>
          </w:tcPr>
          <w:p w14:paraId="2A999D4C" w14:textId="77777777" w:rsidR="00092AFE" w:rsidRPr="00235408" w:rsidRDefault="00092AFE" w:rsidP="00B37DCF">
            <w:r w:rsidRPr="00235408">
              <w:t>Nature of conflict</w:t>
            </w:r>
          </w:p>
        </w:tc>
        <w:tc>
          <w:tcPr>
            <w:tcW w:w="2251" w:type="dxa"/>
            <w:tcBorders>
              <w:bottom w:val="single" w:sz="6" w:space="0" w:color="EDEDEE"/>
              <w:right w:val="single" w:sz="6" w:space="0" w:color="EDEDEE"/>
            </w:tcBorders>
            <w:tcMar>
              <w:top w:w="304" w:type="dxa"/>
              <w:left w:w="304" w:type="dxa"/>
              <w:bottom w:w="304" w:type="dxa"/>
              <w:right w:w="304" w:type="dxa"/>
            </w:tcMar>
            <w:vAlign w:val="center"/>
            <w:hideMark/>
          </w:tcPr>
          <w:p w14:paraId="6234252E" w14:textId="77777777" w:rsidR="00092AFE" w:rsidRPr="00235408" w:rsidRDefault="00092AFE" w:rsidP="00B37DCF">
            <w:r w:rsidRPr="00235408">
              <w:t>Good vs. evil (moral categories), us = good, them = evil</w:t>
            </w:r>
          </w:p>
        </w:tc>
        <w:tc>
          <w:tcPr>
            <w:tcW w:w="2251" w:type="dxa"/>
            <w:tcBorders>
              <w:bottom w:val="single" w:sz="6" w:space="0" w:color="EDEDEE"/>
              <w:right w:val="single" w:sz="6" w:space="0" w:color="EDEDEE"/>
            </w:tcBorders>
            <w:tcMar>
              <w:top w:w="304" w:type="dxa"/>
              <w:left w:w="304" w:type="dxa"/>
              <w:bottom w:w="304" w:type="dxa"/>
              <w:right w:w="304" w:type="dxa"/>
            </w:tcMar>
            <w:vAlign w:val="center"/>
            <w:hideMark/>
          </w:tcPr>
          <w:p w14:paraId="058334E0" w14:textId="77777777" w:rsidR="00092AFE" w:rsidRPr="00235408" w:rsidRDefault="00092AFE" w:rsidP="00B37DCF">
            <w:r w:rsidRPr="00235408">
              <w:t>Good vs evil (abstract categories), democracy/HR = good, totalitarianism = evil</w:t>
            </w:r>
          </w:p>
        </w:tc>
        <w:tc>
          <w:tcPr>
            <w:tcW w:w="2251" w:type="dxa"/>
            <w:tcBorders>
              <w:bottom w:val="single" w:sz="6" w:space="0" w:color="EDEDEE"/>
              <w:right w:val="nil"/>
            </w:tcBorders>
            <w:tcMar>
              <w:top w:w="304" w:type="dxa"/>
              <w:left w:w="304" w:type="dxa"/>
              <w:bottom w:w="304" w:type="dxa"/>
              <w:right w:w="0" w:type="dxa"/>
            </w:tcMar>
            <w:vAlign w:val="center"/>
            <w:hideMark/>
          </w:tcPr>
          <w:p w14:paraId="15901CB7" w14:textId="77777777" w:rsidR="00092AFE" w:rsidRPr="00235408" w:rsidRDefault="00092AFE" w:rsidP="00B37DCF">
            <w:r w:rsidRPr="00235408">
              <w:t>Nature of conflict and violence depend on social circumstances, context and agency</w:t>
            </w:r>
          </w:p>
        </w:tc>
      </w:tr>
      <w:tr w:rsidR="00092AFE" w:rsidRPr="00235408" w14:paraId="76388C83" w14:textId="77777777" w:rsidTr="00B37DCF">
        <w:trPr>
          <w:trHeight w:val="1313"/>
        </w:trPr>
        <w:tc>
          <w:tcPr>
            <w:tcW w:w="2250" w:type="dxa"/>
            <w:tcBorders>
              <w:bottom w:val="single" w:sz="6" w:space="0" w:color="EDEDEE"/>
              <w:right w:val="single" w:sz="6" w:space="0" w:color="EDEDEE"/>
            </w:tcBorders>
            <w:tcMar>
              <w:top w:w="304" w:type="dxa"/>
              <w:left w:w="0" w:type="dxa"/>
              <w:bottom w:w="304" w:type="dxa"/>
              <w:right w:w="304" w:type="dxa"/>
            </w:tcMar>
            <w:vAlign w:val="center"/>
            <w:hideMark/>
          </w:tcPr>
          <w:p w14:paraId="26448FC1" w14:textId="77777777" w:rsidR="00092AFE" w:rsidRPr="00235408" w:rsidRDefault="00092AFE" w:rsidP="00B37DCF">
            <w:r w:rsidRPr="00235408">
              <w:t>Perpetrator/victim perspectives</w:t>
            </w:r>
          </w:p>
        </w:tc>
        <w:tc>
          <w:tcPr>
            <w:tcW w:w="2251" w:type="dxa"/>
            <w:tcBorders>
              <w:bottom w:val="single" w:sz="6" w:space="0" w:color="EDEDEE"/>
              <w:right w:val="single" w:sz="6" w:space="0" w:color="EDEDEE"/>
            </w:tcBorders>
            <w:tcMar>
              <w:top w:w="304" w:type="dxa"/>
              <w:left w:w="304" w:type="dxa"/>
              <w:bottom w:w="304" w:type="dxa"/>
              <w:right w:w="304" w:type="dxa"/>
            </w:tcMar>
            <w:vAlign w:val="center"/>
            <w:hideMark/>
          </w:tcPr>
          <w:p w14:paraId="2F4B9703" w14:textId="77777777" w:rsidR="00092AFE" w:rsidRPr="00235408" w:rsidRDefault="00092AFE" w:rsidP="00B37DCF">
            <w:r w:rsidRPr="00235408">
              <w:t>perpetrator perspective presented as victim, us = victims, them = perpetrators</w:t>
            </w:r>
          </w:p>
        </w:tc>
        <w:tc>
          <w:tcPr>
            <w:tcW w:w="2251" w:type="dxa"/>
            <w:tcBorders>
              <w:bottom w:val="single" w:sz="6" w:space="0" w:color="EDEDEE"/>
              <w:right w:val="single" w:sz="6" w:space="0" w:color="EDEDEE"/>
            </w:tcBorders>
            <w:tcMar>
              <w:top w:w="304" w:type="dxa"/>
              <w:left w:w="304" w:type="dxa"/>
              <w:bottom w:w="304" w:type="dxa"/>
              <w:right w:w="304" w:type="dxa"/>
            </w:tcMar>
            <w:vAlign w:val="center"/>
            <w:hideMark/>
          </w:tcPr>
          <w:p w14:paraId="01ED14E7" w14:textId="77777777" w:rsidR="00092AFE" w:rsidRPr="00235408" w:rsidRDefault="00092AFE" w:rsidP="00B37DCF">
            <w:r w:rsidRPr="00235408">
              <w:t>Emphasis on victims’ perspective on all sides</w:t>
            </w:r>
          </w:p>
        </w:tc>
        <w:tc>
          <w:tcPr>
            <w:tcW w:w="2251" w:type="dxa"/>
            <w:tcBorders>
              <w:bottom w:val="single" w:sz="6" w:space="0" w:color="EDEDEE"/>
              <w:right w:val="nil"/>
            </w:tcBorders>
            <w:tcMar>
              <w:top w:w="304" w:type="dxa"/>
              <w:left w:w="304" w:type="dxa"/>
              <w:bottom w:w="304" w:type="dxa"/>
              <w:right w:w="0" w:type="dxa"/>
            </w:tcMar>
            <w:vAlign w:val="center"/>
            <w:hideMark/>
          </w:tcPr>
          <w:p w14:paraId="7F4787FA" w14:textId="77777777" w:rsidR="00092AFE" w:rsidRPr="00235408" w:rsidRDefault="00092AFE" w:rsidP="00B37DCF">
            <w:r w:rsidRPr="00235408">
              <w:t>Learning from the memories/perspectives of victims, perpetrators, their party witnesses</w:t>
            </w:r>
          </w:p>
        </w:tc>
      </w:tr>
      <w:tr w:rsidR="00092AFE" w:rsidRPr="00235408" w14:paraId="319E53D6" w14:textId="77777777" w:rsidTr="00B37DCF">
        <w:trPr>
          <w:trHeight w:val="1599"/>
        </w:trPr>
        <w:tc>
          <w:tcPr>
            <w:tcW w:w="2250" w:type="dxa"/>
            <w:tcBorders>
              <w:bottom w:val="single" w:sz="6" w:space="0" w:color="EDEDEE"/>
              <w:right w:val="single" w:sz="6" w:space="0" w:color="EDEDEE"/>
            </w:tcBorders>
            <w:tcMar>
              <w:top w:w="304" w:type="dxa"/>
              <w:left w:w="0" w:type="dxa"/>
              <w:bottom w:w="304" w:type="dxa"/>
              <w:right w:w="304" w:type="dxa"/>
            </w:tcMar>
            <w:vAlign w:val="center"/>
            <w:hideMark/>
          </w:tcPr>
          <w:p w14:paraId="727376BF" w14:textId="77777777" w:rsidR="00092AFE" w:rsidRPr="00235408" w:rsidRDefault="00092AFE" w:rsidP="00B37DCF">
            <w:r w:rsidRPr="00235408">
              <w:t>Historical context</w:t>
            </w:r>
          </w:p>
        </w:tc>
        <w:tc>
          <w:tcPr>
            <w:tcW w:w="2251" w:type="dxa"/>
            <w:tcBorders>
              <w:bottom w:val="single" w:sz="6" w:space="0" w:color="EDEDEE"/>
              <w:right w:val="single" w:sz="6" w:space="0" w:color="EDEDEE"/>
            </w:tcBorders>
            <w:tcMar>
              <w:top w:w="304" w:type="dxa"/>
              <w:left w:w="304" w:type="dxa"/>
              <w:bottom w:w="304" w:type="dxa"/>
              <w:right w:w="304" w:type="dxa"/>
            </w:tcMar>
            <w:vAlign w:val="center"/>
            <w:hideMark/>
          </w:tcPr>
          <w:p w14:paraId="529F72A6" w14:textId="77777777" w:rsidR="00092AFE" w:rsidRPr="00235408" w:rsidRDefault="00092AFE" w:rsidP="00B37DCF">
            <w:r w:rsidRPr="00235408">
              <w:t xml:space="preserve">Self-consciously, </w:t>
            </w:r>
            <w:proofErr w:type="spellStart"/>
            <w:r w:rsidRPr="00235408">
              <w:t>unreflexive</w:t>
            </w:r>
            <w:proofErr w:type="spellEnd"/>
            <w:r w:rsidRPr="00235408">
              <w:t xml:space="preserve">, </w:t>
            </w:r>
            <w:proofErr w:type="spellStart"/>
            <w:r w:rsidRPr="00235408">
              <w:t>monologic</w:t>
            </w:r>
            <w:proofErr w:type="spellEnd"/>
          </w:p>
        </w:tc>
        <w:tc>
          <w:tcPr>
            <w:tcW w:w="2251" w:type="dxa"/>
            <w:tcBorders>
              <w:bottom w:val="single" w:sz="6" w:space="0" w:color="EDEDEE"/>
              <w:right w:val="single" w:sz="6" w:space="0" w:color="EDEDEE"/>
            </w:tcBorders>
            <w:tcMar>
              <w:top w:w="304" w:type="dxa"/>
              <w:left w:w="304" w:type="dxa"/>
              <w:bottom w:w="304" w:type="dxa"/>
              <w:right w:w="304" w:type="dxa"/>
            </w:tcMar>
            <w:vAlign w:val="center"/>
            <w:hideMark/>
          </w:tcPr>
          <w:p w14:paraId="49FE2E7C" w14:textId="77777777" w:rsidR="00092AFE" w:rsidRPr="00235408" w:rsidRDefault="00092AFE" w:rsidP="00B37DCF">
            <w:r w:rsidRPr="00235408">
              <w:t>Reflexive, dialogic, exposing the constructed nature of memory, consensually dialogic</w:t>
            </w:r>
          </w:p>
        </w:tc>
        <w:tc>
          <w:tcPr>
            <w:tcW w:w="2251" w:type="dxa"/>
            <w:tcBorders>
              <w:bottom w:val="single" w:sz="6" w:space="0" w:color="EDEDEE"/>
              <w:right w:val="nil"/>
            </w:tcBorders>
            <w:tcMar>
              <w:top w:w="304" w:type="dxa"/>
              <w:left w:w="304" w:type="dxa"/>
              <w:bottom w:w="304" w:type="dxa"/>
              <w:right w:w="0" w:type="dxa"/>
            </w:tcMar>
            <w:vAlign w:val="center"/>
            <w:hideMark/>
          </w:tcPr>
          <w:p w14:paraId="374A1F44" w14:textId="77777777" w:rsidR="00092AFE" w:rsidRPr="00235408" w:rsidRDefault="00092AFE" w:rsidP="00B37DCF">
            <w:r w:rsidRPr="00235408">
              <w:t>Reflexive, dialogic, multi-</w:t>
            </w:r>
            <w:proofErr w:type="spellStart"/>
            <w:r w:rsidRPr="00235408">
              <w:t>perspectivist</w:t>
            </w:r>
            <w:proofErr w:type="spellEnd"/>
            <w:r w:rsidRPr="00235408">
              <w:t>, exposing the constructed nature of memory, open-endedly dialogic</w:t>
            </w:r>
          </w:p>
        </w:tc>
      </w:tr>
      <w:tr w:rsidR="00092AFE" w:rsidRPr="00235408" w14:paraId="4EE3C6E7" w14:textId="77777777" w:rsidTr="00B37DCF">
        <w:trPr>
          <w:trHeight w:val="1313"/>
        </w:trPr>
        <w:tc>
          <w:tcPr>
            <w:tcW w:w="2250" w:type="dxa"/>
            <w:tcBorders>
              <w:bottom w:val="nil"/>
              <w:right w:val="single" w:sz="6" w:space="0" w:color="EDEDEE"/>
            </w:tcBorders>
            <w:tcMar>
              <w:top w:w="304" w:type="dxa"/>
              <w:left w:w="0" w:type="dxa"/>
              <w:bottom w:w="152" w:type="dxa"/>
              <w:right w:w="304" w:type="dxa"/>
            </w:tcMar>
            <w:vAlign w:val="center"/>
            <w:hideMark/>
          </w:tcPr>
          <w:p w14:paraId="2203144F" w14:textId="77777777" w:rsidR="00092AFE" w:rsidRPr="00235408" w:rsidRDefault="00092AFE" w:rsidP="00B37DCF">
            <w:r w:rsidRPr="00235408">
              <w:t>Empathy and emotions</w:t>
            </w:r>
          </w:p>
        </w:tc>
        <w:tc>
          <w:tcPr>
            <w:tcW w:w="2251" w:type="dxa"/>
            <w:tcBorders>
              <w:bottom w:val="nil"/>
              <w:right w:val="single" w:sz="6" w:space="0" w:color="EDEDEE"/>
            </w:tcBorders>
            <w:tcMar>
              <w:top w:w="304" w:type="dxa"/>
              <w:left w:w="304" w:type="dxa"/>
              <w:bottom w:w="152" w:type="dxa"/>
              <w:right w:w="304" w:type="dxa"/>
            </w:tcMar>
            <w:vAlign w:val="center"/>
            <w:hideMark/>
          </w:tcPr>
          <w:p w14:paraId="6B2ECCD3" w14:textId="77777777" w:rsidR="00092AFE" w:rsidRPr="00235408" w:rsidRDefault="00092AFE" w:rsidP="00B37DCF">
            <w:r w:rsidRPr="00235408">
              <w:t>Empathy with our past sufferings, passion of belonging, demonizing the evil Other(s)</w:t>
            </w:r>
          </w:p>
        </w:tc>
        <w:tc>
          <w:tcPr>
            <w:tcW w:w="2251" w:type="dxa"/>
            <w:tcBorders>
              <w:bottom w:val="nil"/>
              <w:right w:val="single" w:sz="6" w:space="0" w:color="EDEDEE"/>
            </w:tcBorders>
            <w:tcMar>
              <w:top w:w="304" w:type="dxa"/>
              <w:left w:w="304" w:type="dxa"/>
              <w:bottom w:w="152" w:type="dxa"/>
              <w:right w:w="304" w:type="dxa"/>
            </w:tcMar>
            <w:vAlign w:val="center"/>
            <w:hideMark/>
          </w:tcPr>
          <w:p w14:paraId="7D74A858" w14:textId="77777777" w:rsidR="00092AFE" w:rsidRPr="00235408" w:rsidRDefault="00092AFE" w:rsidP="00B37DCF">
            <w:r w:rsidRPr="00235408">
              <w:t>Compassion for human suffering</w:t>
            </w:r>
          </w:p>
        </w:tc>
        <w:tc>
          <w:tcPr>
            <w:tcW w:w="2251" w:type="dxa"/>
            <w:tcBorders>
              <w:bottom w:val="nil"/>
              <w:right w:val="nil"/>
            </w:tcBorders>
            <w:tcMar>
              <w:top w:w="304" w:type="dxa"/>
              <w:left w:w="304" w:type="dxa"/>
              <w:bottom w:w="152" w:type="dxa"/>
              <w:right w:w="0" w:type="dxa"/>
            </w:tcMar>
            <w:vAlign w:val="center"/>
            <w:hideMark/>
          </w:tcPr>
          <w:p w14:paraId="7F6B352C" w14:textId="77777777" w:rsidR="00092AFE" w:rsidRPr="00235408" w:rsidRDefault="00092AFE" w:rsidP="00B37DCF">
            <w:r w:rsidRPr="00235408">
              <w:t>Passions oriented towards collective solidarity, preparing emotions for democratic institutions</w:t>
            </w:r>
          </w:p>
        </w:tc>
      </w:tr>
    </w:tbl>
    <w:p w14:paraId="722EB0D4" w14:textId="5041E2E9" w:rsidR="004A0314" w:rsidRPr="003936FC" w:rsidRDefault="004A0314" w:rsidP="00092AFE">
      <w:pPr>
        <w:pStyle w:val="NormalWeb"/>
        <w:jc w:val="both"/>
        <w:rPr>
          <w:rFonts w:ascii="Europa-Regular" w:hAnsi="Europa-Regular"/>
        </w:rPr>
      </w:pPr>
    </w:p>
    <w:sectPr w:rsidR="004A0314" w:rsidRPr="003936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2930B" w14:textId="77777777" w:rsidR="00E34E6E" w:rsidRDefault="00E34E6E" w:rsidP="00E914FB">
      <w:pPr>
        <w:spacing w:after="0" w:line="240" w:lineRule="auto"/>
      </w:pPr>
      <w:r>
        <w:separator/>
      </w:r>
    </w:p>
  </w:endnote>
  <w:endnote w:type="continuationSeparator" w:id="0">
    <w:p w14:paraId="6B98555D" w14:textId="77777777" w:rsidR="00E34E6E" w:rsidRDefault="00E34E6E" w:rsidP="00E9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ropa-Regular">
    <w:altName w:val="Calibri"/>
    <w:panose1 w:val="020B0604020202020204"/>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15513"/>
      <w:docPartObj>
        <w:docPartGallery w:val="Page Numbers (Bottom of Page)"/>
        <w:docPartUnique/>
      </w:docPartObj>
    </w:sdtPr>
    <w:sdtEndPr>
      <w:rPr>
        <w:noProof/>
      </w:rPr>
    </w:sdtEndPr>
    <w:sdtContent>
      <w:p w14:paraId="5BF41F5C" w14:textId="667A0FA4" w:rsidR="00E34E6E" w:rsidRDefault="00E34E6E" w:rsidP="00334E93">
        <w:pPr>
          <w:pStyle w:val="Footer"/>
        </w:pPr>
        <w:r>
          <w:t xml:space="preserve">© University of Bath </w:t>
        </w:r>
        <w:r>
          <w:tab/>
        </w:r>
        <w:r>
          <w:tab/>
          <w:t xml:space="preserve">  </w:t>
        </w:r>
        <w:r>
          <w:fldChar w:fldCharType="begin"/>
        </w:r>
        <w:r>
          <w:instrText xml:space="preserve"> PAGE   \* MERGEFORMAT </w:instrText>
        </w:r>
        <w:r>
          <w:fldChar w:fldCharType="separate"/>
        </w:r>
        <w:r w:rsidR="00E93E82">
          <w:rPr>
            <w:noProof/>
          </w:rPr>
          <w:t>1</w:t>
        </w:r>
        <w:r>
          <w:rPr>
            <w:noProof/>
          </w:rPr>
          <w:fldChar w:fldCharType="end"/>
        </w:r>
      </w:p>
    </w:sdtContent>
  </w:sdt>
  <w:p w14:paraId="3F63F732" w14:textId="77777777" w:rsidR="00E34E6E" w:rsidRPr="00E914FB" w:rsidRDefault="00E34E6E">
    <w:pPr>
      <w:pStyle w:val="Footer"/>
      <w:rPr>
        <w:rFonts w:ascii="Europa-Regular" w:hAnsi="Europa-Regula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CB7AC" w14:textId="77777777" w:rsidR="00E34E6E" w:rsidRDefault="00E34E6E" w:rsidP="00E914FB">
      <w:pPr>
        <w:spacing w:after="0" w:line="240" w:lineRule="auto"/>
      </w:pPr>
      <w:r>
        <w:separator/>
      </w:r>
    </w:p>
  </w:footnote>
  <w:footnote w:type="continuationSeparator" w:id="0">
    <w:p w14:paraId="5FD99683" w14:textId="77777777" w:rsidR="00E34E6E" w:rsidRDefault="00E34E6E" w:rsidP="00E91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9306" w14:textId="77777777" w:rsidR="00E34E6E" w:rsidRDefault="00E34E6E">
    <w:pPr>
      <w:pStyle w:val="Header"/>
    </w:pPr>
    <w:r w:rsidRPr="00E914FB">
      <w:rPr>
        <w:noProof/>
        <w:lang w:val="en-US"/>
      </w:rPr>
      <mc:AlternateContent>
        <mc:Choice Requires="wps">
          <w:drawing>
            <wp:anchor distT="0" distB="0" distL="114300" distR="114300" simplePos="0" relativeHeight="251659264" behindDoc="0" locked="0" layoutInCell="1" allowOverlap="1" wp14:anchorId="10EE3E29" wp14:editId="1ED3542F">
              <wp:simplePos x="0" y="0"/>
              <wp:positionH relativeFrom="column">
                <wp:posOffset>-1019175</wp:posOffset>
              </wp:positionH>
              <wp:positionV relativeFrom="paragraph">
                <wp:posOffset>-449580</wp:posOffset>
              </wp:positionV>
              <wp:extent cx="7677150" cy="182880"/>
              <wp:effectExtent l="0" t="0" r="0" b="7620"/>
              <wp:wrapNone/>
              <wp:docPr id="6" name="Rectangle 5"/>
              <wp:cNvGraphicFramePr/>
              <a:graphic xmlns:a="http://schemas.openxmlformats.org/drawingml/2006/main">
                <a:graphicData uri="http://schemas.microsoft.com/office/word/2010/wordprocessingShape">
                  <wps:wsp>
                    <wps:cNvSpPr/>
                    <wps:spPr>
                      <a:xfrm>
                        <a:off x="0" y="0"/>
                        <a:ext cx="7677150" cy="182880"/>
                      </a:xfrm>
                      <a:prstGeom prst="rect">
                        <a:avLst/>
                      </a:prstGeom>
                      <a:gradFill flip="none" rotWithShape="1">
                        <a:gsLst>
                          <a:gs pos="0">
                            <a:srgbClr val="FF00FF"/>
                          </a:gs>
                          <a:gs pos="100000">
                            <a:srgbClr val="FEFE51"/>
                          </a:gs>
                          <a:gs pos="51000">
                            <a:srgbClr val="FC6297"/>
                          </a:gs>
                          <a:gs pos="74000">
                            <a:srgbClr val="FD976D"/>
                          </a:gs>
                          <a:gs pos="14000">
                            <a:srgbClr val="FB2BC6"/>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xmlns:mv="urn:schemas-microsoft-com:mac:vml" xmlns:mo="http://schemas.microsoft.com/office/mac/office/2008/main">
          <w:pict>
            <v:rect w14:anchorId="2019C8E2" id="Rectangle 5" o:spid="_x0000_s1026" style="position:absolute;margin-left:-80.25pt;margin-top:-35.4pt;width:604.5pt;height:1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" fillcolor="fuchsia" stroked="f">
              <v:fill color2="#fefe51" rotate="t" angle="90" colors="0 fuchsia;9175f #fb2bc6;33423f #fc6297;48497f #fd976d;1 #fefe51"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A5E"/>
    <w:multiLevelType w:val="hybridMultilevel"/>
    <w:tmpl w:val="6ACA2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mailMerge>
    <w:mainDocumentType w:val="formLetters"/>
    <w:linkToQuery/>
    <w:dataType w:val="textFile"/>
    <w:query w:val="SELECT * FROM `Transcripts$`"/>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FB"/>
    <w:rsid w:val="00031C62"/>
    <w:rsid w:val="00092AFE"/>
    <w:rsid w:val="0009353F"/>
    <w:rsid w:val="000D0B32"/>
    <w:rsid w:val="001270C8"/>
    <w:rsid w:val="00170A34"/>
    <w:rsid w:val="001A076B"/>
    <w:rsid w:val="002150CD"/>
    <w:rsid w:val="002445CC"/>
    <w:rsid w:val="002E7B43"/>
    <w:rsid w:val="00334E93"/>
    <w:rsid w:val="00377671"/>
    <w:rsid w:val="003936FC"/>
    <w:rsid w:val="003C5CEE"/>
    <w:rsid w:val="003D30B5"/>
    <w:rsid w:val="00422E6E"/>
    <w:rsid w:val="004A0314"/>
    <w:rsid w:val="00533454"/>
    <w:rsid w:val="006E1D94"/>
    <w:rsid w:val="006F38AC"/>
    <w:rsid w:val="007120AE"/>
    <w:rsid w:val="008039A8"/>
    <w:rsid w:val="00827D4E"/>
    <w:rsid w:val="00884956"/>
    <w:rsid w:val="008D6648"/>
    <w:rsid w:val="008D6C03"/>
    <w:rsid w:val="00931E41"/>
    <w:rsid w:val="009A3047"/>
    <w:rsid w:val="009D0DF7"/>
    <w:rsid w:val="009F32DE"/>
    <w:rsid w:val="009F6141"/>
    <w:rsid w:val="00AE245D"/>
    <w:rsid w:val="00BB73C0"/>
    <w:rsid w:val="00C53CDD"/>
    <w:rsid w:val="00D348AA"/>
    <w:rsid w:val="00DA4AC8"/>
    <w:rsid w:val="00DD05B3"/>
    <w:rsid w:val="00E34E6E"/>
    <w:rsid w:val="00E62A2A"/>
    <w:rsid w:val="00E664BF"/>
    <w:rsid w:val="00E914FB"/>
    <w:rsid w:val="00E93E82"/>
    <w:rsid w:val="00EA040A"/>
    <w:rsid w:val="00EC2E32"/>
    <w:rsid w:val="00F1785D"/>
    <w:rsid w:val="00F7286F"/>
    <w:rsid w:val="00FC7F01"/>
    <w:rsid w:val="00FD5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E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4FB"/>
  </w:style>
  <w:style w:type="paragraph" w:styleId="Footer">
    <w:name w:val="footer"/>
    <w:basedOn w:val="Normal"/>
    <w:link w:val="FooterChar"/>
    <w:uiPriority w:val="99"/>
    <w:unhideWhenUsed/>
    <w:rsid w:val="00E91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4FB"/>
  </w:style>
  <w:style w:type="paragraph" w:styleId="BalloonText">
    <w:name w:val="Balloon Text"/>
    <w:basedOn w:val="Normal"/>
    <w:link w:val="BalloonTextChar"/>
    <w:uiPriority w:val="99"/>
    <w:semiHidden/>
    <w:unhideWhenUsed/>
    <w:rsid w:val="00E91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4FB"/>
    <w:rPr>
      <w:rFonts w:ascii="Tahoma" w:hAnsi="Tahoma" w:cs="Tahoma"/>
      <w:sz w:val="16"/>
      <w:szCs w:val="16"/>
    </w:rPr>
  </w:style>
  <w:style w:type="paragraph" w:styleId="NormalWeb">
    <w:name w:val="Normal (Web)"/>
    <w:basedOn w:val="Normal"/>
    <w:uiPriority w:val="99"/>
    <w:unhideWhenUsed/>
    <w:rsid w:val="001A076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33454"/>
    <w:pPr>
      <w:ind w:left="720"/>
      <w:contextualSpacing/>
    </w:pPr>
  </w:style>
  <w:style w:type="character" w:styleId="Hyperlink">
    <w:name w:val="Hyperlink"/>
    <w:basedOn w:val="DefaultParagraphFont"/>
    <w:uiPriority w:val="99"/>
    <w:unhideWhenUsed/>
    <w:rsid w:val="00092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51777">
      <w:bodyDiv w:val="1"/>
      <w:marLeft w:val="0"/>
      <w:marRight w:val="0"/>
      <w:marTop w:val="0"/>
      <w:marBottom w:val="0"/>
      <w:divBdr>
        <w:top w:val="none" w:sz="0" w:space="0" w:color="auto"/>
        <w:left w:val="none" w:sz="0" w:space="0" w:color="auto"/>
        <w:bottom w:val="none" w:sz="0" w:space="0" w:color="auto"/>
        <w:right w:val="none" w:sz="0" w:space="0" w:color="auto"/>
      </w:divBdr>
    </w:div>
    <w:div w:id="1173491413">
      <w:bodyDiv w:val="1"/>
      <w:marLeft w:val="0"/>
      <w:marRight w:val="0"/>
      <w:marTop w:val="0"/>
      <w:marBottom w:val="0"/>
      <w:divBdr>
        <w:top w:val="none" w:sz="0" w:space="0" w:color="auto"/>
        <w:left w:val="none" w:sz="0" w:space="0" w:color="auto"/>
        <w:bottom w:val="none" w:sz="0" w:space="0" w:color="auto"/>
        <w:right w:val="none" w:sz="0" w:space="0" w:color="auto"/>
      </w:divBdr>
    </w:div>
    <w:div w:id="16805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earchportal.bath.ac.uk/files/116012882/On_Agonistic_memory_final_version_for_Open_Access.pdf" TargetMode="External"/><Relationship Id="rId4" Type="http://schemas.openxmlformats.org/officeDocument/2006/relationships/settings" Target="settings.xml"/><Relationship Id="rId9" Type="http://schemas.openxmlformats.org/officeDocument/2006/relationships/hyperlink" Target="https://researchportal.bath.ac.uk/files/116012882/On_Agonistic_memory_final_version_for_Open_Acces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7E74-9DD4-8740-BF73-CFEF54ED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2014-01-13T15:29:00Z</cp:lastPrinted>
  <dcterms:created xsi:type="dcterms:W3CDTF">2019-03-05T16:47:00Z</dcterms:created>
  <dcterms:modified xsi:type="dcterms:W3CDTF">2019-03-05T16:47:00Z</dcterms:modified>
</cp:coreProperties>
</file>